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325" w:rsidRPr="00BA2325" w:rsidRDefault="00BA2325" w:rsidP="00BA2325">
      <w:pPr>
        <w:rPr>
          <w:rFonts w:cstheme="minorHAnsi"/>
          <w:b/>
          <w:bCs/>
        </w:rPr>
      </w:pPr>
      <w:r w:rsidRPr="00BA2325">
        <w:rPr>
          <w:rFonts w:cstheme="minorHAnsi"/>
          <w:b/>
          <w:bCs/>
        </w:rPr>
        <w:t>Цель</w:t>
      </w:r>
    </w:p>
    <w:p w:rsidR="00BA2325" w:rsidRPr="00BA2325" w:rsidRDefault="00BA2325" w:rsidP="00BA2325">
      <w:pPr>
        <w:rPr>
          <w:rFonts w:cstheme="minorHAnsi"/>
          <w:color w:val="000000"/>
        </w:rPr>
      </w:pPr>
      <w:r w:rsidRPr="00BA2325">
        <w:rPr>
          <w:rFonts w:cstheme="minorHAnsi"/>
          <w:color w:val="000000"/>
        </w:rPr>
        <w:t>Уточнение компьютер — ангиопульмонографических критериев массивности поражения легочного русла</w:t>
      </w:r>
      <w:r>
        <w:rPr>
          <w:rFonts w:cstheme="minorHAnsi"/>
          <w:color w:val="000000"/>
        </w:rPr>
        <w:t xml:space="preserve"> </w:t>
      </w:r>
      <w:r w:rsidRPr="00BA2325">
        <w:rPr>
          <w:rFonts w:cstheme="minorHAnsi"/>
          <w:color w:val="000000"/>
        </w:rPr>
        <w:t>в стратификации риска смерти у больных ТЭЛА согласно рекомендациям Европейского общества кардиологов (2014).</w:t>
      </w:r>
    </w:p>
    <w:p w:rsidR="00BA2325" w:rsidRPr="00BA2325" w:rsidRDefault="00BA2325" w:rsidP="00BA2325">
      <w:pPr>
        <w:rPr>
          <w:rFonts w:cstheme="minorHAnsi"/>
          <w:b/>
          <w:bCs/>
        </w:rPr>
      </w:pPr>
      <w:r w:rsidRPr="00BA2325">
        <w:rPr>
          <w:rFonts w:cstheme="minorHAnsi"/>
          <w:b/>
          <w:bCs/>
        </w:rPr>
        <w:t>Материал и методы</w:t>
      </w:r>
    </w:p>
    <w:p w:rsidR="00BA2325" w:rsidRPr="00BA2325" w:rsidRDefault="00BA2325" w:rsidP="00BA2325">
      <w:pPr>
        <w:rPr>
          <w:rFonts w:cstheme="minorHAnsi"/>
          <w:color w:val="000000"/>
        </w:rPr>
      </w:pPr>
      <w:r w:rsidRPr="00BA2325">
        <w:rPr>
          <w:rFonts w:cstheme="minorHAnsi"/>
          <w:color w:val="000000"/>
        </w:rPr>
        <w:t>Проведен анализ объема поражения легочного русла у 371 пациента тромбоэмболией легочной артерии разного риска ранней смерти по критериям Европейского общества кардиологов (2014).</w:t>
      </w:r>
    </w:p>
    <w:p w:rsidR="00BA2325" w:rsidRPr="00BA2325" w:rsidRDefault="00BA2325" w:rsidP="00BA2325">
      <w:pPr>
        <w:rPr>
          <w:rFonts w:cstheme="minorHAnsi"/>
          <w:b/>
          <w:bCs/>
        </w:rPr>
      </w:pPr>
      <w:r w:rsidRPr="00BA2325">
        <w:rPr>
          <w:rFonts w:cstheme="minorHAnsi"/>
          <w:b/>
          <w:bCs/>
        </w:rPr>
        <w:t>Результаты</w:t>
      </w:r>
    </w:p>
    <w:p w:rsidR="00BA2325" w:rsidRPr="00BA2325" w:rsidRDefault="00BA2325" w:rsidP="00BA2325">
      <w:pPr>
        <w:rPr>
          <w:rFonts w:cstheme="minorHAnsi"/>
          <w:color w:val="000000"/>
        </w:rPr>
      </w:pPr>
      <w:r w:rsidRPr="00BA2325">
        <w:rPr>
          <w:rFonts w:cstheme="minorHAnsi"/>
          <w:color w:val="000000"/>
        </w:rPr>
        <w:t>Пациенты с высоким, умеренно-высоким и умеренно-низким риском ТЭЛА ассоциированной смерти статистически достоверно не различались по объему и степени обструкции артерий малого круга кровообращения.</w:t>
      </w:r>
      <w:r>
        <w:rPr>
          <w:rFonts w:cstheme="minorHAnsi"/>
          <w:color w:val="000000"/>
        </w:rPr>
        <w:t xml:space="preserve"> </w:t>
      </w:r>
      <w:r w:rsidRPr="00BA2325">
        <w:rPr>
          <w:rFonts w:cstheme="minorHAnsi"/>
          <w:color w:val="000000"/>
        </w:rPr>
        <w:t>Стратификация риска ранней смерти наиболее точна при поступлении больного в стационар в первые сутки</w:t>
      </w:r>
      <w:r>
        <w:rPr>
          <w:rFonts w:cstheme="minorHAnsi"/>
          <w:color w:val="000000"/>
        </w:rPr>
        <w:t xml:space="preserve"> </w:t>
      </w:r>
      <w:r w:rsidRPr="00BA2325">
        <w:rPr>
          <w:rFonts w:cstheme="minorHAnsi"/>
          <w:color w:val="000000"/>
        </w:rPr>
        <w:t>заболевания. В это время наиболее информативны показатели плазменной концентрации тропонина и мозгового натрийуретического пептида, которые нормализуются к 3 и 5 суткам соответственно. При госпитализации в более поздние сроки данные лабораторные показатели малоспецифичны в стратификации риска</w:t>
      </w:r>
      <w:r>
        <w:rPr>
          <w:rFonts w:cstheme="minorHAnsi"/>
          <w:color w:val="000000"/>
        </w:rPr>
        <w:t xml:space="preserve"> </w:t>
      </w:r>
      <w:r w:rsidRPr="00BA2325">
        <w:rPr>
          <w:rFonts w:cstheme="minorHAnsi"/>
          <w:color w:val="000000"/>
        </w:rPr>
        <w:t>смерти. Это приводит к заниженной оценке риска смерти у этой категории больных, и следовательно</w:t>
      </w:r>
      <w:r>
        <w:rPr>
          <w:rFonts w:cstheme="minorHAnsi"/>
          <w:color w:val="000000"/>
        </w:rPr>
        <w:t>,</w:t>
      </w:r>
      <w:r w:rsidRPr="00BA2325">
        <w:rPr>
          <w:rFonts w:cstheme="minorHAnsi"/>
          <w:color w:val="000000"/>
        </w:rPr>
        <w:t xml:space="preserve"> может</w:t>
      </w:r>
      <w:r>
        <w:rPr>
          <w:rFonts w:cstheme="minorHAnsi"/>
          <w:color w:val="000000"/>
        </w:rPr>
        <w:t xml:space="preserve"> </w:t>
      </w:r>
      <w:r w:rsidRPr="00BA2325">
        <w:rPr>
          <w:rFonts w:cstheme="minorHAnsi"/>
          <w:color w:val="000000"/>
        </w:rPr>
        <w:t>обусловить не вполне адекватный выбор тактики ведения этих пациентов. Нивелировать это различие между</w:t>
      </w:r>
      <w:r>
        <w:rPr>
          <w:rFonts w:cstheme="minorHAnsi"/>
          <w:color w:val="000000"/>
        </w:rPr>
        <w:t xml:space="preserve"> </w:t>
      </w:r>
      <w:r w:rsidRPr="00BA2325">
        <w:rPr>
          <w:rFonts w:cstheme="minorHAnsi"/>
          <w:color w:val="000000"/>
        </w:rPr>
        <w:t>группами может оценка объема тромботической окклюзии легочного русла. Для возникновения клинических,</w:t>
      </w:r>
      <w:r>
        <w:rPr>
          <w:rFonts w:cstheme="minorHAnsi"/>
          <w:color w:val="000000"/>
        </w:rPr>
        <w:t xml:space="preserve"> </w:t>
      </w:r>
      <w:r w:rsidRPr="00BA2325">
        <w:rPr>
          <w:rFonts w:cstheme="minorHAnsi"/>
          <w:color w:val="000000"/>
        </w:rPr>
        <w:t>ЭКГ и ЭхоКГ симптомов объемной перегрузки правых отделов сердца значимым является суммарное отсутствие кровотока в 10 и более сегментарных артериях.</w:t>
      </w:r>
    </w:p>
    <w:p w:rsidR="00BA2325" w:rsidRPr="00546087" w:rsidRDefault="00BA2325" w:rsidP="00BA2325">
      <w:pPr>
        <w:rPr>
          <w:rFonts w:cstheme="minorHAnsi"/>
          <w:b/>
          <w:bCs/>
        </w:rPr>
      </w:pPr>
      <w:r w:rsidRPr="00546087">
        <w:rPr>
          <w:rFonts w:cstheme="minorHAnsi"/>
          <w:b/>
          <w:bCs/>
        </w:rPr>
        <w:t>Заключение</w:t>
      </w:r>
    </w:p>
    <w:p w:rsidR="00BA2325" w:rsidRPr="00BA2325" w:rsidRDefault="00BA2325" w:rsidP="00BA2325">
      <w:pPr>
        <w:rPr>
          <w:rFonts w:cstheme="minorHAnsi"/>
          <w:color w:val="000000"/>
        </w:rPr>
      </w:pPr>
      <w:r w:rsidRPr="00BA2325">
        <w:rPr>
          <w:rFonts w:cstheme="minorHAnsi"/>
          <w:color w:val="000000"/>
        </w:rPr>
        <w:t>Суммарное отсутствие кровотока в 10 и более сегментарных артериях сопоставимо с окклюзией одной</w:t>
      </w:r>
      <w:r w:rsidR="00546087">
        <w:rPr>
          <w:rFonts w:cstheme="minorHAnsi"/>
          <w:color w:val="000000"/>
        </w:rPr>
        <w:t xml:space="preserve"> </w:t>
      </w:r>
      <w:r w:rsidRPr="00BA2325">
        <w:rPr>
          <w:rFonts w:cstheme="minorHAnsi"/>
          <w:color w:val="000000"/>
        </w:rPr>
        <w:t>главной легочной артерии и может трактоваться как массивное поражение малого круга кровообращения.</w:t>
      </w:r>
      <w:r w:rsidR="00546087">
        <w:rPr>
          <w:rFonts w:cstheme="minorHAnsi"/>
          <w:color w:val="000000"/>
        </w:rPr>
        <w:t xml:space="preserve"> </w:t>
      </w:r>
      <w:r w:rsidRPr="00BA2325">
        <w:rPr>
          <w:rFonts w:cstheme="minorHAnsi"/>
          <w:color w:val="000000"/>
        </w:rPr>
        <w:t>Применение данной оценки массивности поражения легочного русла при ТЭЛА не уступает классификации</w:t>
      </w:r>
      <w:r w:rsidR="00546087">
        <w:rPr>
          <w:rFonts w:cstheme="minorHAnsi"/>
          <w:color w:val="000000"/>
        </w:rPr>
        <w:t xml:space="preserve">, </w:t>
      </w:r>
      <w:r w:rsidRPr="00BA2325">
        <w:rPr>
          <w:rFonts w:cstheme="minorHAnsi"/>
          <w:color w:val="000000"/>
        </w:rPr>
        <w:t>предлагаемой Европейским обществом кардиологов (2014) по распространенности всех критериев, используемых в этой классификации.</w:t>
      </w:r>
    </w:p>
    <w:p w:rsidR="00BA2325" w:rsidRPr="00546087" w:rsidRDefault="00BA2325" w:rsidP="00BA2325">
      <w:pPr>
        <w:rPr>
          <w:rFonts w:cstheme="minorHAnsi"/>
          <w:b/>
          <w:bCs/>
        </w:rPr>
      </w:pPr>
      <w:r w:rsidRPr="00546087">
        <w:rPr>
          <w:rFonts w:cstheme="minorHAnsi"/>
          <w:b/>
          <w:bCs/>
        </w:rPr>
        <w:t>Ключевые слова</w:t>
      </w:r>
    </w:p>
    <w:p w:rsidR="007F00BB" w:rsidRPr="00BA2325" w:rsidRDefault="00BA2325" w:rsidP="00BA2325">
      <w:pPr>
        <w:rPr>
          <w:rFonts w:cstheme="minorHAnsi"/>
        </w:rPr>
      </w:pPr>
      <w:r w:rsidRPr="00BA2325">
        <w:rPr>
          <w:rFonts w:cstheme="minorHAnsi"/>
          <w:color w:val="000000"/>
        </w:rPr>
        <w:t xml:space="preserve">Тромбоэмболия легочной артерии, массивность поражения, сегментарные </w:t>
      </w:r>
      <w:proofErr w:type="gramStart"/>
      <w:r w:rsidRPr="00BA2325">
        <w:rPr>
          <w:rFonts w:cstheme="minorHAnsi"/>
          <w:color w:val="000000"/>
        </w:rPr>
        <w:t>артерии.</w:t>
      </w:r>
      <w:bookmarkStart w:id="0" w:name="_GoBack"/>
      <w:bookmarkEnd w:id="0"/>
      <w:proofErr w:type="gramEnd"/>
    </w:p>
    <w:sectPr w:rsidR="007F00BB" w:rsidRPr="00BA2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BB"/>
    <w:rsid w:val="005163D6"/>
    <w:rsid w:val="00546087"/>
    <w:rsid w:val="005E2970"/>
    <w:rsid w:val="007F00BB"/>
    <w:rsid w:val="00BA2325"/>
    <w:rsid w:val="00C062D1"/>
    <w:rsid w:val="00FB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A240C9"/>
  <w15:chartTrackingRefBased/>
  <w15:docId w15:val="{C9947B04-F4C8-44DF-A348-B2F226B8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2020-02-18T05:13:00Z</dcterms:created>
  <dcterms:modified xsi:type="dcterms:W3CDTF">2020-02-18T05:13:00Z</dcterms:modified>
</cp:coreProperties>
</file>